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Югры Агзямова Р.В.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Степановой Александры Витальевны, </w:t>
      </w:r>
      <w:r>
        <w:rPr>
          <w:rStyle w:val="cat-ExternalSystemDefinedgrp-4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7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являющейся директором ООО «СЗ «ДОМ», зарегистрированной и </w:t>
      </w:r>
      <w:r>
        <w:rPr>
          <w:rStyle w:val="cat-PassportDatagrp-38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Степанова А.В., являясь директором ООО «СЗ «ДОМ», зарегистрированного по адресу: ХМАО-Югра, г. Нефтеюганск, Производственный проезд, стр. 9, кабинет 26, в нарушение п. 7 ст. 431 НК РФ, до 28.10.2025 не представила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9 месяцев, квартальный 2025. Срок представления налогового расчета по страховым взносам за 9 месяцев, квартальный 2025 – не позднее 24:00 часов 27.10.2025, фактически налоговый расчет по страховым взносам за 9 месяцев, квартальный 2025 представлен 30.10.2025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Степанова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Степановой А.В</w:t>
      </w:r>
      <w:r>
        <w:rPr>
          <w:rFonts w:ascii="Times New Roman" w:eastAsia="Times New Roman" w:hAnsi="Times New Roman" w:cs="Times New Roman"/>
          <w:sz w:val="26"/>
          <w:szCs w:val="26"/>
        </w:rPr>
        <w:t>. в ее отсутствие.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Степановой А.В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7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08.12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Степанова А.В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России №7 по Ханты-Мансийскому автономному округу – Югре, </w:t>
      </w:r>
      <w:r>
        <w:rPr>
          <w:rFonts w:ascii="Times New Roman" w:eastAsia="Times New Roman" w:hAnsi="Times New Roman" w:cs="Times New Roman"/>
          <w:sz w:val="26"/>
          <w:szCs w:val="26"/>
        </w:rPr>
        <w:t>налоговый расчет по страховым взносам за 9 месяцев, квартальный 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19.11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квитанцией о приеме налоговой декларации (расчета) в электронном виде от </w:t>
      </w:r>
      <w:r>
        <w:rPr>
          <w:rFonts w:ascii="Times New Roman" w:eastAsia="Times New Roman" w:hAnsi="Times New Roman" w:cs="Times New Roman"/>
          <w:sz w:val="26"/>
          <w:szCs w:val="26"/>
        </w:rPr>
        <w:t>30.10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п.п. 4 п.1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п.6 ст.80 Налогового кодекса РФ налоговая декларация представляется в установленные законодательством о налогах и сборах сроки.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1, 2 ст. 346.12 Налогового кодекса РФ, налогоплательщиками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 Организация имеет право перейти на упрощенную систему налогообложения, если по итогам девяти месяцев того года, в котором организация подает уведомление о переходе на упрощенную систему налогообложения, доходы, определяемые в соответствии со статьей 248 настоящего Кодекса, не превысили 112,5 млн. рублей.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пп. 1 п. 1 ст. 346.23 Налогового кодекса РФ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Проанализировав и оценив в совокупности изложенные выше доказательства, мировой судья пришел к выводу о том,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«СЗ «ДОМ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Степановой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установлена и доказана, его деяние подлежит квалификации по ст. 15.5 КоАП РФ, так как </w:t>
      </w:r>
      <w:r>
        <w:rPr>
          <w:rFonts w:ascii="Times New Roman" w:eastAsia="Times New Roman" w:hAnsi="Times New Roman" w:cs="Times New Roman"/>
          <w:sz w:val="26"/>
          <w:szCs w:val="26"/>
        </w:rPr>
        <w:t>Степанова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нарушила сроки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налогов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расчет по страховым взносам за 9 месяцев, квартальный 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Одновременно с этим, несмотря на то, что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«СЗ «ДОМ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Степановой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имеется состав административного правонарушения, мировой судья учитывает обстоятельства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Степановой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административного правонарушения.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квитанции о приеме налоговой декларации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налогов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расчет по страховым взносам за 9 месяцев, квартальный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«СЗ «ДОМ</w:t>
      </w:r>
      <w:r>
        <w:rPr>
          <w:rFonts w:ascii="Times New Roman" w:eastAsia="Times New Roman" w:hAnsi="Times New Roman" w:cs="Times New Roman"/>
          <w:sz w:val="26"/>
          <w:szCs w:val="26"/>
        </w:rPr>
        <w:t>» в налоговый орган 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30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16.41.48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 этом срок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налогов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страховым взносам за 9 месяцев, квартальный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24:00 час. </w:t>
      </w:r>
      <w:r>
        <w:rPr>
          <w:rFonts w:ascii="Times New Roman" w:eastAsia="Times New Roman" w:hAnsi="Times New Roman" w:cs="Times New Roman"/>
          <w:sz w:val="26"/>
          <w:szCs w:val="26"/>
        </w:rPr>
        <w:t>27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6"/>
          <w:szCs w:val="26"/>
        </w:rPr>
        <w:t>ООО «СЗ «ДОМ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 лице его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Степановой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был нарушен срок представления сведений, необходимых для осуществления налогового контроля, который составил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 этом, незначительная просрочка представления сведений не создала существенной угрозы охраняемым общественным отношениям, такие доказательства в деле отсутствуют.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п. 21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Формально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Степановой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имеется состав административного правонарушения, однако деяние не повлекло неблагоприятных последствий, не лишило налоговые органы возможности осуществления контроля, за правильностью исчисления, удержания и перечисления налогов </w:t>
      </w:r>
      <w:r>
        <w:rPr>
          <w:rFonts w:ascii="Times New Roman" w:eastAsia="Times New Roman" w:hAnsi="Times New Roman" w:cs="Times New Roman"/>
          <w:sz w:val="26"/>
          <w:szCs w:val="26"/>
        </w:rPr>
        <w:t>ООО «СЗ «ДОМ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». Таким образом, несвоевременное представление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ООО «СЗ «ДОМ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налогов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страховым взносам за 9 месяцев, квартальный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повлекло существенного нарушения охраняемых общественных правоотношений и государственных интересов, что свидетельствует о малозначительности административного правонарушения.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 мировой судья считает, что совершенное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«СЗ «ДОМ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Степановой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административное правонарушение в силу ст. 2.9 КоАП РФ является малозначительным,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«СЗ «ДОМ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Степанову А.В</w:t>
      </w:r>
      <w:r>
        <w:rPr>
          <w:rFonts w:ascii="Times New Roman" w:eastAsia="Times New Roman" w:hAnsi="Times New Roman" w:cs="Times New Roman"/>
          <w:sz w:val="26"/>
          <w:szCs w:val="26"/>
        </w:rPr>
        <w:t>. следует освободить от административной ответственности и ограничиться устным замечанием.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2.9, 29.9 ч.1, 29.10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Производство по делу об административном правонарушении, предусмотренном ст. 15.5 Кодекса Российской Федерации об административных правонарушениях,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 ООО «СЗ «ДОМ» Степанов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Витальевн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прекратить в связи с малозначительностью.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Объявить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«СЗ «ДОМ» Степановой Александр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Витальевн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устное замечание.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8"/>
          <w:szCs w:val="8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7rplc-7">
    <w:name w:val="cat-PassportData grp-37 rplc-7"/>
    <w:basedOn w:val="DefaultParagraphFont"/>
  </w:style>
  <w:style w:type="character" w:customStyle="1" w:styleId="cat-PassportDatagrp-38rplc-9">
    <w:name w:val="cat-PassportData grp-38 rplc-9"/>
    <w:basedOn w:val="DefaultParagraphFont"/>
  </w:style>
  <w:style w:type="character" w:customStyle="1" w:styleId="cat-ExternalSystemDefinedgrp-46rplc-10">
    <w:name w:val="cat-ExternalSystemDefined grp-46 rplc-10"/>
    <w:basedOn w:val="DefaultParagraphFont"/>
  </w:style>
  <w:style w:type="character" w:customStyle="1" w:styleId="cat-ExternalSystemDefinedgrp-45rplc-11">
    <w:name w:val="cat-ExternalSystemDefined grp-45 rplc-11"/>
    <w:basedOn w:val="DefaultParagraphFont"/>
  </w:style>
  <w:style w:type="character" w:customStyle="1" w:styleId="cat-UserDefinedgrp-47rplc-24">
    <w:name w:val="cat-UserDefined grp-47 rplc-24"/>
    <w:basedOn w:val="DefaultParagraphFont"/>
  </w:style>
  <w:style w:type="character" w:customStyle="1" w:styleId="cat-UserDefinedgrp-48rplc-58">
    <w:name w:val="cat-UserDefined grp-48 rplc-58"/>
    <w:basedOn w:val="DefaultParagraphFont"/>
  </w:style>
  <w:style w:type="character" w:customStyle="1" w:styleId="cat-UserDefinedgrp-49rplc-61">
    <w:name w:val="cat-UserDefined grp-49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